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E" w:rsidRPr="00A135EE" w:rsidRDefault="00A135EE" w:rsidP="00C44487">
      <w:pPr>
        <w:keepNext/>
        <w:spacing w:before="240" w:line="276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ИНФОРМАЦИОННОЕ СООБЩЕНИЕ</w:t>
      </w:r>
    </w:p>
    <w:p w:rsidR="00C87B0A" w:rsidRDefault="00A135EE" w:rsidP="00C44487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В ЭЛЕКТРОННОЙ ФОРМЕ АУКЦИОНА ПО ПРОДАЖЕ </w:t>
      </w: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МУНИЦИПАЛЬНОГО ИМУЩЕСТВА </w:t>
      </w:r>
      <w:r w:rsidR="00C87B0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ИЛИШЕВСКОГО РАЙОНА</w:t>
      </w:r>
    </w:p>
    <w:p w:rsidR="00A135EE" w:rsidRPr="00A135EE" w:rsidRDefault="00A135EE" w:rsidP="00C44487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РЕСПУБЛИКИ БАШКОРТОСТАН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567955" w:rsidRDefault="00A135EE" w:rsidP="00567955">
      <w:pPr>
        <w:rPr>
          <w:rFonts w:ascii="Times New Roman" w:hAnsi="Times New Roman" w:cs="Times New Roman"/>
          <w:sz w:val="24"/>
          <w:szCs w:val="24"/>
        </w:rPr>
      </w:pPr>
      <w:r w:rsidRPr="00567955">
        <w:rPr>
          <w:rFonts w:ascii="Times New Roman" w:hAnsi="Times New Roman" w:cs="Times New Roman"/>
          <w:sz w:val="24"/>
          <w:szCs w:val="24"/>
        </w:rPr>
        <w:t xml:space="preserve">Основание приватизации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совета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сельского поселения Игметовский сельсовет муниципального района Илишевский рай</w:t>
      </w:r>
      <w:r w:rsidR="00A6529D">
        <w:rPr>
          <w:rFonts w:ascii="Times New Roman" w:hAnsi="Times New Roman" w:cs="Times New Roman"/>
          <w:sz w:val="24"/>
          <w:szCs w:val="24"/>
        </w:rPr>
        <w:t xml:space="preserve">он Республики Башкортостан от 04 июля 2022 </w:t>
      </w:r>
      <w:proofErr w:type="spellStart"/>
      <w:r w:rsidR="00A6529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A6529D">
        <w:rPr>
          <w:rFonts w:ascii="Times New Roman" w:hAnsi="Times New Roman" w:cs="Times New Roman"/>
          <w:sz w:val="24"/>
          <w:szCs w:val="24"/>
        </w:rPr>
        <w:t xml:space="preserve"> 32-2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</w:t>
      </w:r>
      <w:r w:rsidR="00A652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6529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на 2022 год» </w:t>
      </w:r>
      <w:r w:rsidRPr="00567955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="00A652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529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679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A7F59" w:rsidRPr="00567955">
        <w:rPr>
          <w:rFonts w:ascii="Times New Roman" w:hAnsi="Times New Roman" w:cs="Times New Roman"/>
          <w:sz w:val="24"/>
          <w:szCs w:val="24"/>
        </w:rPr>
        <w:t>Илишев</w:t>
      </w:r>
      <w:r w:rsidRPr="00567955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  от </w:t>
      </w:r>
      <w:r w:rsidR="00567955" w:rsidRPr="00567955">
        <w:rPr>
          <w:rFonts w:ascii="Times New Roman" w:hAnsi="Times New Roman" w:cs="Times New Roman"/>
          <w:sz w:val="24"/>
          <w:szCs w:val="24"/>
        </w:rPr>
        <w:t>“27</w:t>
      </w:r>
      <w:r w:rsidR="00EA4C57" w:rsidRPr="00567955">
        <w:rPr>
          <w:rFonts w:ascii="Times New Roman" w:hAnsi="Times New Roman" w:cs="Times New Roman"/>
          <w:sz w:val="24"/>
          <w:szCs w:val="24"/>
        </w:rPr>
        <w:t>”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</w:t>
      </w:r>
      <w:r w:rsidR="005C0B2E" w:rsidRPr="00567955">
        <w:rPr>
          <w:rFonts w:ascii="Times New Roman" w:hAnsi="Times New Roman" w:cs="Times New Roman"/>
          <w:sz w:val="24"/>
          <w:szCs w:val="24"/>
        </w:rPr>
        <w:t>ию</w:t>
      </w:r>
      <w:r w:rsidR="00C752B9" w:rsidRPr="00567955">
        <w:rPr>
          <w:rFonts w:ascii="Times New Roman" w:hAnsi="Times New Roman" w:cs="Times New Roman"/>
          <w:sz w:val="24"/>
          <w:szCs w:val="24"/>
        </w:rPr>
        <w:t>л</w:t>
      </w:r>
      <w:r w:rsidRPr="00567955">
        <w:rPr>
          <w:rFonts w:ascii="Times New Roman" w:hAnsi="Times New Roman" w:cs="Times New Roman"/>
          <w:sz w:val="24"/>
          <w:szCs w:val="24"/>
        </w:rPr>
        <w:t>я 202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2 </w:t>
      </w:r>
      <w:r w:rsidRPr="00567955">
        <w:rPr>
          <w:rFonts w:ascii="Times New Roman" w:eastAsia="Batang" w:hAnsi="Times New Roman" w:cs="Times New Roman"/>
          <w:sz w:val="24"/>
          <w:szCs w:val="24"/>
        </w:rPr>
        <w:t>г. №</w:t>
      </w:r>
      <w:r w:rsidR="00923BC9">
        <w:rPr>
          <w:rFonts w:ascii="Times New Roman" w:eastAsia="Batang" w:hAnsi="Times New Roman" w:cs="Times New Roman"/>
          <w:sz w:val="24"/>
          <w:szCs w:val="24"/>
        </w:rPr>
        <w:t>20</w:t>
      </w:r>
      <w:r w:rsidRPr="00567955">
        <w:rPr>
          <w:rFonts w:ascii="Times New Roman" w:eastAsia="Batang" w:hAnsi="Times New Roman" w:cs="Times New Roman"/>
          <w:sz w:val="24"/>
          <w:szCs w:val="24"/>
        </w:rPr>
        <w:t xml:space="preserve"> «</w:t>
      </w:r>
      <w:r w:rsidR="00567955" w:rsidRPr="00567955">
        <w:rPr>
          <w:rFonts w:ascii="Times New Roman" w:hAnsi="Times New Roman" w:cs="Times New Roman"/>
          <w:sz w:val="24"/>
          <w:szCs w:val="24"/>
        </w:rPr>
        <w:t>Об объявлении аукциона по продаже муниципального недвижимого имущества</w:t>
      </w:r>
      <w:r w:rsidRPr="00567955">
        <w:rPr>
          <w:rFonts w:ascii="Times New Roman" w:eastAsia="Batang" w:hAnsi="Times New Roman" w:cs="Times New Roman"/>
          <w:sz w:val="24"/>
          <w:szCs w:val="24"/>
        </w:rPr>
        <w:t>»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е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е</w:t>
      </w:r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C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F59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C0B2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C0B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 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го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я</w:t>
      </w:r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C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955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го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я</w:t>
      </w:r>
      <w:r w:rsidR="0092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C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67955" w:rsidRPr="005679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Оператор-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</w:p>
    <w:p w:rsidR="00A135EE" w:rsidRPr="00A135EE" w:rsidRDefault="00A135EE" w:rsidP="00A135EE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016" w:tblpY="241"/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268"/>
        <w:gridCol w:w="1134"/>
        <w:gridCol w:w="1134"/>
        <w:gridCol w:w="1228"/>
        <w:gridCol w:w="1648"/>
      </w:tblGrid>
      <w:tr w:rsidR="00697B5A" w:rsidRPr="00A135EE" w:rsidTr="00697B5A">
        <w:tc>
          <w:tcPr>
            <w:tcW w:w="534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</w:tc>
        <w:tc>
          <w:tcPr>
            <w:tcW w:w="1701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Характеристика</w:t>
            </w:r>
          </w:p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Начальная цена продажи, с НДС, руб.</w:t>
            </w:r>
          </w:p>
        </w:tc>
        <w:tc>
          <w:tcPr>
            <w:tcW w:w="1134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НДС, руб., в том числе</w:t>
            </w:r>
          </w:p>
        </w:tc>
        <w:tc>
          <w:tcPr>
            <w:tcW w:w="1228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Шаг аукциона, (5%), руб.</w:t>
            </w:r>
          </w:p>
        </w:tc>
        <w:tc>
          <w:tcPr>
            <w:tcW w:w="1648" w:type="dxa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ind w:righ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Размер задатка, (20%), руб.</w:t>
            </w:r>
          </w:p>
        </w:tc>
      </w:tr>
      <w:tr w:rsidR="00697B5A" w:rsidRPr="00A135EE" w:rsidTr="00697B5A">
        <w:trPr>
          <w:trHeight w:val="1014"/>
        </w:trPr>
        <w:tc>
          <w:tcPr>
            <w:tcW w:w="534" w:type="dxa"/>
            <w:vMerge w:val="restart"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97B5A" w:rsidRPr="00567955" w:rsidRDefault="00697B5A" w:rsidP="00567955">
            <w:pPr>
              <w:rPr>
                <w:rFonts w:ascii="Times New Roman" w:hAnsi="Times New Roman" w:cs="Times New Roman"/>
              </w:rPr>
            </w:pPr>
            <w:r w:rsidRPr="00567955">
              <w:rPr>
                <w:rFonts w:ascii="Times New Roman" w:hAnsi="Times New Roman" w:cs="Times New Roman"/>
              </w:rPr>
              <w:t>Республика Башкортост</w:t>
            </w:r>
            <w:r w:rsidR="00923BC9">
              <w:rPr>
                <w:rFonts w:ascii="Times New Roman" w:hAnsi="Times New Roman" w:cs="Times New Roman"/>
              </w:rPr>
              <w:t xml:space="preserve">ан, р-н. </w:t>
            </w:r>
            <w:proofErr w:type="spellStart"/>
            <w:r w:rsidR="00923BC9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="00923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3BC9">
              <w:rPr>
                <w:rFonts w:ascii="Times New Roman" w:hAnsi="Times New Roman" w:cs="Times New Roman"/>
              </w:rPr>
              <w:t>д.Тюлиганово</w:t>
            </w:r>
            <w:proofErr w:type="spellEnd"/>
            <w:r w:rsidR="00923BC9">
              <w:rPr>
                <w:rFonts w:ascii="Times New Roman" w:hAnsi="Times New Roman" w:cs="Times New Roman"/>
              </w:rPr>
              <w:t>, ул. Чапаева, д.4</w:t>
            </w:r>
            <w:r w:rsidRPr="005679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697B5A" w:rsidRPr="00567955" w:rsidRDefault="00923BC9" w:rsidP="0056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149,3</w:t>
            </w:r>
            <w:r w:rsidR="00697B5A" w:rsidRPr="00567955">
              <w:rPr>
                <w:rFonts w:ascii="Times New Roman" w:hAnsi="Times New Roman" w:cs="Times New Roman"/>
              </w:rPr>
              <w:t xml:space="preserve"> кв.м.</w:t>
            </w:r>
          </w:p>
          <w:p w:rsidR="00697B5A" w:rsidRPr="00567955" w:rsidRDefault="00697B5A" w:rsidP="00567955">
            <w:pPr>
              <w:rPr>
                <w:rFonts w:ascii="Times New Roman" w:hAnsi="Times New Roman" w:cs="Times New Roman"/>
              </w:rPr>
            </w:pPr>
            <w:r w:rsidRPr="00567955">
              <w:rPr>
                <w:rFonts w:ascii="Times New Roman" w:hAnsi="Times New Roman" w:cs="Times New Roman"/>
              </w:rPr>
              <w:t>Количество этажей - 1,</w:t>
            </w:r>
          </w:p>
          <w:p w:rsidR="00697B5A" w:rsidRPr="00567955" w:rsidRDefault="00697B5A" w:rsidP="00567955">
            <w:pPr>
              <w:rPr>
                <w:rFonts w:ascii="Times New Roman" w:hAnsi="Times New Roman" w:cs="Times New Roman"/>
              </w:rPr>
            </w:pPr>
            <w:r w:rsidRPr="00567955">
              <w:rPr>
                <w:rFonts w:ascii="Times New Roman" w:hAnsi="Times New Roman" w:cs="Times New Roman"/>
              </w:rPr>
              <w:t>ка</w:t>
            </w:r>
            <w:r w:rsidR="00923BC9">
              <w:rPr>
                <w:rFonts w:ascii="Times New Roman" w:hAnsi="Times New Roman" w:cs="Times New Roman"/>
              </w:rPr>
              <w:t>дастровый номер 02:27:040601:154</w:t>
            </w:r>
          </w:p>
          <w:p w:rsidR="00697B5A" w:rsidRPr="00A135EE" w:rsidRDefault="00697B5A" w:rsidP="00B566BC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97B5A" w:rsidRPr="00A135EE" w:rsidRDefault="00843171" w:rsidP="00697B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180000</w:t>
            </w:r>
            <w:r w:rsidR="00697B5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7B5A" w:rsidRPr="00A135EE" w:rsidRDefault="00A812DF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30000,00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97B5A" w:rsidRPr="00A135EE" w:rsidRDefault="00843171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9000</w:t>
            </w:r>
            <w:r w:rsidR="00697B5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7B5A" w:rsidRPr="00A135EE" w:rsidRDefault="00843171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  <w:r w:rsidR="00697B5A">
              <w:rPr>
                <w:rFonts w:ascii="Times New Roman" w:hAnsi="Times New Roman" w:cs="Times New Roman"/>
                <w:color w:val="auto"/>
              </w:rPr>
              <w:t>000,00</w:t>
            </w:r>
          </w:p>
        </w:tc>
      </w:tr>
      <w:tr w:rsidR="00697B5A" w:rsidRPr="00A135EE" w:rsidTr="00697B5A">
        <w:tc>
          <w:tcPr>
            <w:tcW w:w="534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697B5A" w:rsidRPr="00FA67C5" w:rsidRDefault="00697B5A" w:rsidP="00FA67C5">
            <w:pPr>
              <w:rPr>
                <w:rFonts w:ascii="Times New Roman" w:hAnsi="Times New Roman" w:cs="Times New Roman"/>
              </w:rPr>
            </w:pPr>
            <w:r w:rsidRPr="00FA67C5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FA67C5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FA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69F1">
              <w:rPr>
                <w:rFonts w:ascii="Times New Roman" w:hAnsi="Times New Roman" w:cs="Times New Roman"/>
              </w:rPr>
              <w:lastRenderedPageBreak/>
              <w:t>д.Тюлиганово</w:t>
            </w:r>
            <w:proofErr w:type="spellEnd"/>
            <w:r w:rsidR="003A69F1">
              <w:rPr>
                <w:rFonts w:ascii="Times New Roman" w:hAnsi="Times New Roman" w:cs="Times New Roman"/>
              </w:rPr>
              <w:t>, ул. Чапаева, д. 4</w:t>
            </w:r>
            <w:r w:rsidRPr="00FA6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97B5A" w:rsidRDefault="00697B5A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Земельный участок,</w:t>
            </w:r>
          </w:p>
          <w:p w:rsidR="00697B5A" w:rsidRDefault="003A69F1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3685</w:t>
            </w:r>
            <w:r w:rsidR="00697B5A" w:rsidRPr="00FA67C5">
              <w:rPr>
                <w:rFonts w:ascii="Times New Roman" w:hAnsi="Times New Roman" w:cs="Times New Roman"/>
              </w:rPr>
              <w:t xml:space="preserve"> </w:t>
            </w:r>
            <w:r w:rsidR="00697B5A" w:rsidRPr="00A135EE">
              <w:rPr>
                <w:rFonts w:ascii="Times New Roman" w:hAnsi="Times New Roman" w:cs="Times New Roman"/>
                <w:color w:val="auto"/>
              </w:rPr>
              <w:t>кв.м.</w:t>
            </w:r>
            <w:r w:rsidR="00697B5A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697B5A" w:rsidRPr="00A135EE" w:rsidRDefault="00697B5A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кадастровый номер </w:t>
            </w:r>
            <w:r w:rsidR="003A69F1">
              <w:rPr>
                <w:rFonts w:ascii="Times New Roman" w:hAnsi="Times New Roman" w:cs="Times New Roman"/>
              </w:rPr>
              <w:lastRenderedPageBreak/>
              <w:t>02:27:040601</w:t>
            </w:r>
            <w:r w:rsidRPr="00FA67C5">
              <w:rPr>
                <w:rFonts w:ascii="Times New Roman" w:hAnsi="Times New Roman" w:cs="Times New Roman"/>
              </w:rPr>
              <w:t>:</w:t>
            </w:r>
            <w:r w:rsidR="003A69F1">
              <w:rPr>
                <w:rFonts w:ascii="Times New Roman" w:hAnsi="Times New Roman" w:cs="Times New Roman"/>
              </w:rPr>
              <w:t>1</w:t>
            </w:r>
          </w:p>
          <w:p w:rsidR="00697B5A" w:rsidRPr="00A135EE" w:rsidRDefault="00697B5A" w:rsidP="00B566BC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697B5A" w:rsidRPr="00A135EE" w:rsidRDefault="00697B5A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Предметом аукциона является недвижимое 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Начальная цена продажи имущества на аукционе определена оценщиком ИП </w:t>
      </w:r>
      <w:proofErr w:type="spellStart"/>
      <w:r w:rsidR="009A7F5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Бахтиз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иным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A7F5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="009A7F5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(отчет об оценке № </w:t>
      </w:r>
      <w:r w:rsidR="003A69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65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от </w:t>
      </w:r>
      <w:r w:rsidR="003A69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.0</w:t>
      </w:r>
      <w:r w:rsidR="003A69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5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.202</w:t>
      </w:r>
      <w:r w:rsidR="00697B5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года). 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Реквизиты счета перечисления задатка: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Получатель: ООО «РТС-тендер»;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Наименование банка: Филиал "Корпоративный" ПАО "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Совкомбанк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"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Расчетный счёт:40702810512030016362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Корр. счёт:30101810445250000360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БИК:044525360 ИНН:7710357167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КПП:773001001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перечисленный победителем</w:t>
      </w:r>
      <w:r w:rsidR="0056795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аукциона засчитывается в сумму платежа по договору купли-продажи.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имущества, Победитель </w:t>
      </w:r>
      <w:proofErr w:type="spellStart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аукциона,утрачивают</w:t>
      </w:r>
      <w:proofErr w:type="spellEnd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право на заключение указанного договора, задаток не возвращается.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A135EE" w:rsidRPr="00A135EE" w:rsidRDefault="00A135EE" w:rsidP="00A135E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A135EE" w:rsidRPr="00A135EE" w:rsidRDefault="00A135EE" w:rsidP="00A135EE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Заявка на участие в торгах содержит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A135EE" w:rsidRPr="00A135EE" w:rsidRDefault="00A135EE" w:rsidP="00A13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Документ,подтверждающий</w:t>
      </w:r>
      <w:proofErr w:type="spellEnd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Решение о согласии на совершение </w:t>
      </w:r>
      <w:r w:rsidRPr="00A135EE">
        <w:rPr>
          <w:rFonts w:ascii="Times New Roman" w:hAnsi="Times New Roman" w:cs="Times New Roman"/>
          <w:color w:val="auto"/>
          <w:spacing w:val="2"/>
          <w:sz w:val="24"/>
          <w:szCs w:val="24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максимальную сумму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Извещение о проведении аукциона. Извещение о проведении аукциона размещается </w:t>
      </w:r>
      <w:r w:rsidR="00C444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</w:t>
      </w:r>
      <w:r w:rsidRPr="00A135E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муниципального района </w:t>
      </w:r>
      <w:proofErr w:type="spellStart"/>
      <w:r w:rsidR="00F93283">
        <w:rPr>
          <w:rFonts w:ascii="Times New Roman" w:hAnsi="Times New Roman" w:cs="Times New Roman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Российской Федерации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для размещения информации о проведении торгов - </w:t>
      </w:r>
      <w:hyperlink r:id="rId4" w:history="1">
        <w:r w:rsidRPr="00A135EE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www.torgi.gov.ru</w:t>
        </w:r>
      </w:hyperlink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0" w:name="_Hlk15569374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bookmarkEnd w:id="0"/>
      <w:proofErr w:type="spellEnd"/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5" w:history="1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Организатор торгов вправе: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аукционе составлял не менее 25 дней.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приобретенного на аукционе имущества:</w:t>
      </w:r>
      <w:r w:rsidR="005679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оплата</w:t>
      </w:r>
      <w:r w:rsidR="005679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производится победителем аукциона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продажи имущества. Факт оплаты имущества подтверждается выпиской со счета, указанного в договоре купли-продажи имущества.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заключения договора купли-продажи: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договор купли-продажи имущества заключается в течении 5 рабочих дней с даты подведения итогов аукциона.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C752B9" w:rsidRDefault="00A135EE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="00C752B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 Сроки, время подачи заявок и проведения аукциона</w:t>
      </w:r>
    </w:p>
    <w:p w:rsidR="00C752B9" w:rsidRDefault="00C752B9" w:rsidP="00C752B9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(Указанное в настоящем извещении время – Местное время)</w:t>
      </w:r>
    </w:p>
    <w:p w:rsidR="00C752B9" w:rsidRDefault="00C752B9" w:rsidP="00C75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9</w:t>
      </w:r>
      <w:r w:rsidR="009C66E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июля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года время 08.00 час (местное время).</w:t>
      </w:r>
    </w:p>
    <w:p w:rsidR="00C752B9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4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августа 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20.00 час. (местное время).</w:t>
      </w:r>
    </w:p>
    <w:p w:rsidR="00C752B9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7168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30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августа 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</w:t>
      </w:r>
      <w:r w:rsidR="007168C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.00 час. (местное время). </w:t>
      </w:r>
    </w:p>
    <w:p w:rsidR="00C752B9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Дата и время начала аукциона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 предложений от участников аукциона) </w:t>
      </w:r>
      <w:r w:rsidR="007168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31 августа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DF01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в 10:00 (местное время).</w:t>
      </w:r>
    </w:p>
    <w:p w:rsidR="00C752B9" w:rsidRDefault="00C752B9" w:rsidP="00C752B9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C752B9" w:rsidRDefault="00C752B9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35EE" w:rsidRPr="00A135EE" w:rsidRDefault="00A135EE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находящегося в собственности муниципального района </w:t>
      </w:r>
      <w:r w:rsidR="00401E7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Илишев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ский район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Электронный аукцион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зоны) (далее -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компании);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офшорной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офшорная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компания, осуществляется контроль. 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наиболее высокую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О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Российской Федерации для размещения информации о проведении торгов </w:t>
      </w:r>
      <w:hyperlink r:id="rId6" w:history="1">
        <w:r w:rsidRPr="00A135EE">
          <w:rPr>
            <w:rFonts w:ascii="Times New Roman" w:hAnsi="Times New Roman" w:cs="Times New Roman"/>
            <w:color w:val="auto"/>
            <w:sz w:val="24"/>
            <w:szCs w:val="24"/>
            <w:u w:val="single"/>
            <w:lang w:eastAsia="en-US"/>
          </w:rPr>
          <w:t>www.torgi.gov.ru</w:t>
        </w:r>
      </w:hyperlink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официальный сайт </w:t>
      </w:r>
      <w:r w:rsidRPr="00A135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67955" w:rsidRPr="00567955">
        <w:rPr>
          <w:rFonts w:ascii="Times New Roman" w:hAnsi="Times New Roman" w:cs="Times New Roman"/>
          <w:sz w:val="24"/>
          <w:szCs w:val="24"/>
        </w:rPr>
        <w:t>сельско</w:t>
      </w:r>
      <w:r w:rsidR="00567955">
        <w:rPr>
          <w:rFonts w:ascii="Times New Roman" w:hAnsi="Times New Roman" w:cs="Times New Roman"/>
          <w:sz w:val="24"/>
          <w:szCs w:val="24"/>
        </w:rPr>
        <w:t>го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7955">
        <w:rPr>
          <w:rFonts w:ascii="Times New Roman" w:hAnsi="Times New Roman" w:cs="Times New Roman"/>
          <w:sz w:val="24"/>
          <w:szCs w:val="24"/>
        </w:rPr>
        <w:t>я</w:t>
      </w:r>
      <w:r w:rsidR="00567955" w:rsidRPr="00567955">
        <w:rPr>
          <w:rFonts w:ascii="Times New Roman" w:hAnsi="Times New Roman" w:cs="Times New Roman"/>
          <w:sz w:val="24"/>
          <w:szCs w:val="24"/>
        </w:rPr>
        <w:t xml:space="preserve"> Игметовский сельсовет 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9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7955"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 </w:t>
      </w:r>
      <w:r w:rsidRPr="00A135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E75">
        <w:rPr>
          <w:rFonts w:ascii="Times New Roman" w:hAnsi="Times New Roman" w:cs="Times New Roman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sz w:val="24"/>
          <w:szCs w:val="24"/>
        </w:rPr>
        <w:t>ский район Республики Башкортостан.</w:t>
      </w:r>
    </w:p>
    <w:p w:rsidR="00A135EE" w:rsidRPr="00A135EE" w:rsidRDefault="00A135EE" w:rsidP="00A135E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зоны) (далее -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офшорные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компании);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офшорной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офшорная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компания, осуществляется контроль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торговой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135EE" w:rsidRPr="00A135EE" w:rsidRDefault="00A135EE" w:rsidP="00A135E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8. Порядок, форма подачи заявок и срок отзыва заявок на участие в аукционе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При приеме заявок от заинтересованных лиц</w:t>
      </w:r>
      <w:r w:rsidR="005679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Протокол о признании Претендентов Участниками аукциона также размещается на официальных сайтах торгов.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10. Порядок проведения аукциона</w:t>
      </w:r>
    </w:p>
    <w:p w:rsidR="00A135EE" w:rsidRPr="00A135EE" w:rsidRDefault="00A135EE" w:rsidP="00A135EE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в соответствии 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 аукциона день и час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Ход проведения процедуры аукциона фиксируется Оператором в электронном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A135EE" w:rsidRPr="00A135EE" w:rsidRDefault="00A135EE" w:rsidP="00A135EE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Протокол об итогах аукциона также размещается на официальных сайтах торгов и на электронной площадке.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A1207" w:rsidRPr="00A135EE" w:rsidRDefault="000A1207" w:rsidP="00A135EE"/>
    <w:sectPr w:rsidR="000A1207" w:rsidRPr="00A135EE" w:rsidSect="00EA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6EDD"/>
    <w:rsid w:val="000A1207"/>
    <w:rsid w:val="000A1A41"/>
    <w:rsid w:val="00111AA9"/>
    <w:rsid w:val="0012510B"/>
    <w:rsid w:val="00345AEB"/>
    <w:rsid w:val="003629CE"/>
    <w:rsid w:val="003A69F1"/>
    <w:rsid w:val="003B23FD"/>
    <w:rsid w:val="00401E75"/>
    <w:rsid w:val="004576E7"/>
    <w:rsid w:val="004F5C83"/>
    <w:rsid w:val="005119FA"/>
    <w:rsid w:val="00516FCD"/>
    <w:rsid w:val="00567955"/>
    <w:rsid w:val="00583CFB"/>
    <w:rsid w:val="005C0B2E"/>
    <w:rsid w:val="00697B5A"/>
    <w:rsid w:val="007168CB"/>
    <w:rsid w:val="0078532F"/>
    <w:rsid w:val="007B563A"/>
    <w:rsid w:val="00802680"/>
    <w:rsid w:val="00827610"/>
    <w:rsid w:val="00843171"/>
    <w:rsid w:val="00871520"/>
    <w:rsid w:val="008D6EDD"/>
    <w:rsid w:val="008E6DD0"/>
    <w:rsid w:val="00923BC9"/>
    <w:rsid w:val="009514AB"/>
    <w:rsid w:val="0097483D"/>
    <w:rsid w:val="009A4223"/>
    <w:rsid w:val="009A7F59"/>
    <w:rsid w:val="009C66EB"/>
    <w:rsid w:val="00A135EE"/>
    <w:rsid w:val="00A6529D"/>
    <w:rsid w:val="00A812DF"/>
    <w:rsid w:val="00B566BC"/>
    <w:rsid w:val="00BB2800"/>
    <w:rsid w:val="00C223E2"/>
    <w:rsid w:val="00C44487"/>
    <w:rsid w:val="00C752B9"/>
    <w:rsid w:val="00C87B0A"/>
    <w:rsid w:val="00CB575F"/>
    <w:rsid w:val="00D81AAA"/>
    <w:rsid w:val="00DF01F8"/>
    <w:rsid w:val="00EA4890"/>
    <w:rsid w:val="00EA4C57"/>
    <w:rsid w:val="00EC779F"/>
    <w:rsid w:val="00F417AD"/>
    <w:rsid w:val="00F93283"/>
    <w:rsid w:val="00FA06C1"/>
    <w:rsid w:val="00FA5F49"/>
    <w:rsid w:val="00FA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955"/>
    <w:pPr>
      <w:spacing w:after="0"/>
      <w:jc w:val="left"/>
    </w:pPr>
    <w:rPr>
      <w:rFonts w:ascii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5679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4</cp:lastModifiedBy>
  <cp:revision>36</cp:revision>
  <cp:lastPrinted>2021-07-27T05:32:00Z</cp:lastPrinted>
  <dcterms:created xsi:type="dcterms:W3CDTF">2020-11-06T10:59:00Z</dcterms:created>
  <dcterms:modified xsi:type="dcterms:W3CDTF">2022-07-29T07:05:00Z</dcterms:modified>
</cp:coreProperties>
</file>