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773711" w:rsidTr="00773711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РеспубликаҺы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773711" w:rsidTr="00773711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3711" w:rsidRDefault="0077371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773711" w:rsidRDefault="00773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3711" w:rsidRDefault="00773711" w:rsidP="00773711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773711" w:rsidTr="00773711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773711" w:rsidRDefault="00773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773711" w:rsidTr="00773711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0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11" w:rsidRDefault="0077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5E4884" w:rsidRDefault="005E4884" w:rsidP="001E650C"/>
    <w:p w:rsidR="00B73EA6" w:rsidRPr="00B73EA6" w:rsidRDefault="00B73EA6" w:rsidP="00B73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Внесение изменений и дополнений в постановление от 16.02.2016 г. №4 "</w:t>
      </w:r>
      <w:r w:rsidRPr="00B73EA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73EA6" w:rsidRPr="00B73EA6" w:rsidRDefault="00B73EA6" w:rsidP="00B73EA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EA6" w:rsidRPr="00B73EA6" w:rsidRDefault="00B73EA6" w:rsidP="00B73E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от 02.03.2007 №25-ФЗ «О муниципальной службе в Российской Федерации», </w:t>
      </w:r>
      <w:r w:rsidRPr="00B73EA6">
        <w:rPr>
          <w:rFonts w:ascii="Times New Roman" w:hAnsi="Times New Roman" w:cs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73EA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73EA6">
        <w:rPr>
          <w:rFonts w:ascii="Times New Roman" w:hAnsi="Times New Roman" w:cs="Times New Roman"/>
          <w:sz w:val="24"/>
          <w:szCs w:val="24"/>
        </w:rPr>
        <w:t xml:space="preserve">. №273-ФЗ «О противодействии коррупции»,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Указами </w:t>
      </w:r>
      <w:r w:rsidRPr="00B73EA6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</w:t>
      </w:r>
      <w:r w:rsidRPr="00B73EA6">
        <w:rPr>
          <w:rFonts w:ascii="Times New Roman" w:hAnsi="Times New Roman" w:cs="Times New Roman"/>
          <w:bCs/>
          <w:sz w:val="24"/>
          <w:szCs w:val="24"/>
        </w:rPr>
        <w:t xml:space="preserve">Указом президента Республики Башкортостан от 19.08.2010 № УП - 498 </w:t>
      </w:r>
      <w:r w:rsidRPr="00B7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73EA6" w:rsidRPr="00B73EA6" w:rsidRDefault="00B73EA6" w:rsidP="00B73E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интересов.</w:t>
      </w:r>
    </w:p>
    <w:p w:rsidR="00B73EA6" w:rsidRPr="00B73EA6" w:rsidRDefault="00B73EA6" w:rsidP="00B73E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служащих, замещающих должности муниципальной службы администрации  сельского поселения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согласно приложению № 2. </w:t>
      </w:r>
    </w:p>
    <w:p w:rsidR="00B73EA6" w:rsidRPr="00B73EA6" w:rsidRDefault="00B73EA6" w:rsidP="00B73E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B73EA6" w:rsidRPr="00B73EA6" w:rsidRDefault="00B73EA6" w:rsidP="00B73E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оставляю за собой. </w:t>
      </w:r>
    </w:p>
    <w:p w:rsidR="00B73EA6" w:rsidRPr="00B73EA6" w:rsidRDefault="00B73EA6" w:rsidP="00B73E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3EA6" w:rsidRPr="00B73EA6" w:rsidRDefault="00B73EA6" w:rsidP="00B73E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3EA6" w:rsidRPr="00B73EA6" w:rsidRDefault="00B73EA6" w:rsidP="00B73EA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</w:t>
      </w:r>
      <w:r w:rsidR="0047713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7713A">
        <w:rPr>
          <w:rFonts w:ascii="Times New Roman" w:hAnsi="Times New Roman" w:cs="Times New Roman"/>
          <w:sz w:val="24"/>
          <w:szCs w:val="24"/>
        </w:rPr>
        <w:t>И.К.Хамидуллин</w:t>
      </w:r>
      <w:proofErr w:type="spellEnd"/>
    </w:p>
    <w:p w:rsidR="0047713A" w:rsidRPr="00B73EA6" w:rsidRDefault="0047713A" w:rsidP="0047713A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Главы сельского поселения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 Республики Башкортостан от14.08.2020</w:t>
      </w:r>
      <w:r w:rsidRPr="00B73EA6">
        <w:rPr>
          <w:rFonts w:ascii="Times New Roman" w:hAnsi="Times New Roman" w:cs="Times New Roman"/>
          <w:sz w:val="24"/>
          <w:szCs w:val="24"/>
        </w:rPr>
        <w:t xml:space="preserve"> г. № 4</w:t>
      </w:r>
      <w:r w:rsidR="00A50345">
        <w:rPr>
          <w:rFonts w:ascii="Times New Roman" w:hAnsi="Times New Roman" w:cs="Times New Roman"/>
          <w:sz w:val="24"/>
          <w:szCs w:val="24"/>
        </w:rPr>
        <w:t>0</w:t>
      </w:r>
      <w:r w:rsidRPr="00B7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3A" w:rsidRPr="00B73EA6" w:rsidRDefault="0047713A" w:rsidP="00477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47713A" w:rsidRPr="00B73EA6" w:rsidRDefault="0047713A" w:rsidP="0047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1.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6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7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8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Илишевского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района, главы местной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 xml:space="preserve"> сельсовет, настоящим Положением.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3. Основными задачами комиссии являются: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Республика Башкортостан (далее - муниципальные служащие)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службе в Российской Федерации», Федеральным </w:t>
      </w:r>
      <w:hyperlink r:id="rId10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а также в осуществлении в администрации сельского поселения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-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Администрация) мер по предупреждению коррупции.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5. В состав Комиссии входят председатель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0" w:name="Par289"/>
      <w:bookmarkStart w:id="1" w:name="Par293"/>
      <w:bookmarkStart w:id="2" w:name="sub_20501"/>
      <w:bookmarkEnd w:id="0"/>
      <w:bookmarkEnd w:id="1"/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End w:id="2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7. Глава сельского поселения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муниципального района 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02"/>
      <w:bookmarkEnd w:id="3"/>
      <w:r w:rsidRPr="00B73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305"/>
      <w:bookmarkEnd w:id="4"/>
      <w:r w:rsidRPr="00B73EA6">
        <w:rPr>
          <w:rFonts w:ascii="Times New Roman" w:hAnsi="Times New Roman" w:cs="Times New Roman"/>
          <w:color w:val="000000"/>
          <w:sz w:val="24"/>
          <w:szCs w:val="24"/>
        </w:rPr>
        <w:t>14. Основаниями для проведения заседания комиссии являются: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306"/>
      <w:bookmarkEnd w:id="5"/>
      <w:r w:rsidRPr="00B73EA6">
        <w:rPr>
          <w:rFonts w:ascii="Times New Roman" w:hAnsi="Times New Roman" w:cs="Times New Roman"/>
          <w:color w:val="000000"/>
          <w:sz w:val="24"/>
          <w:szCs w:val="24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307"/>
      <w:bookmarkEnd w:id="6"/>
      <w:r w:rsidRPr="00B73EA6">
        <w:rPr>
          <w:rFonts w:ascii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308"/>
      <w:bookmarkEnd w:id="7"/>
      <w:r w:rsidRPr="00B73EA6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309"/>
      <w:bookmarkEnd w:id="8"/>
      <w:r w:rsidRPr="00B73EA6">
        <w:rPr>
          <w:rFonts w:ascii="Times New Roman" w:hAnsi="Times New Roman" w:cs="Times New Roman"/>
          <w:color w:val="000000"/>
          <w:sz w:val="24"/>
          <w:szCs w:val="24"/>
        </w:rPr>
        <w:t>б) поступившее в Администрацию:</w:t>
      </w:r>
      <w:bookmarkStart w:id="9" w:name="Par310"/>
      <w:bookmarkEnd w:id="9"/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311"/>
      <w:bookmarkEnd w:id="10"/>
      <w:r w:rsidRPr="00B73EA6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1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EA6">
        <w:rPr>
          <w:rFonts w:ascii="Times New Roman" w:hAnsi="Times New Roman" w:cs="Times New Roman"/>
          <w:sz w:val="24"/>
          <w:szCs w:val="24"/>
        </w:rPr>
        <w:t xml:space="preserve">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312"/>
      <w:bookmarkEnd w:id="11"/>
      <w:r w:rsidRPr="00B73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2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EA6">
        <w:rPr>
          <w:rFonts w:ascii="Times New Roman" w:hAnsi="Times New Roman" w:cs="Times New Roman"/>
          <w:sz w:val="24"/>
          <w:szCs w:val="24"/>
        </w:rPr>
        <w:t xml:space="preserve">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t>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313"/>
      <w:bookmarkEnd w:id="12"/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) поступившее в соответствии с частью 4 статьи 12 Федерального </w:t>
      </w:r>
      <w:hyperlink r:id="rId13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 и статьей 64.1. Трудового </w:t>
      </w:r>
      <w:hyperlink r:id="rId14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17. Уведомление, указанное в подпункте «</w:t>
      </w: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5" w:tgtFrame="_self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327"/>
      <w:bookmarkEnd w:id="13"/>
      <w:r w:rsidRPr="00B73EA6">
        <w:rPr>
          <w:rFonts w:ascii="Times New Roman" w:hAnsi="Times New Roman" w:cs="Times New Roman"/>
          <w:color w:val="000000"/>
          <w:sz w:val="24"/>
          <w:szCs w:val="24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329"/>
      <w:bookmarkEnd w:id="14"/>
      <w:r w:rsidRPr="00B73EA6">
        <w:rPr>
          <w:rFonts w:ascii="Times New Roman" w:hAnsi="Times New Roman" w:cs="Times New Roman"/>
          <w:color w:val="000000"/>
          <w:sz w:val="24"/>
          <w:szCs w:val="24"/>
        </w:rPr>
        <w:t>21. Уведомление и заявление, указанное в абзаце четвертом подпункте «б» пункта 14 настоящего Положения, рассматриваются на очередном (плановом) заседании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(его представителя), и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7713A" w:rsidRPr="00B73EA6" w:rsidRDefault="0047713A" w:rsidP="0047713A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6"/>
      <w:bookmarkEnd w:id="15"/>
      <w:r w:rsidRPr="00B73EA6">
        <w:rPr>
          <w:rFonts w:ascii="Times New Roman" w:hAnsi="Times New Roman" w:cs="Times New Roman"/>
          <w:sz w:val="24"/>
          <w:szCs w:val="24"/>
        </w:rPr>
        <w:lastRenderedPageBreak/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 </w:t>
      </w:r>
      <w:hyperlink r:id="rId16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подпункте «г» пункта 1</w:t>
        </w:r>
      </w:hyperlink>
      <w:r w:rsidRPr="00B73EA6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17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EA6">
        <w:rPr>
          <w:rFonts w:ascii="Times New Roman" w:hAnsi="Times New Roman" w:cs="Times New Roman"/>
          <w:sz w:val="24"/>
          <w:szCs w:val="24"/>
        </w:rPr>
        <w:t> 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 </w:t>
      </w:r>
      <w:hyperlink r:id="rId18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EA6">
        <w:rPr>
          <w:rFonts w:ascii="Times New Roman" w:hAnsi="Times New Roman" w:cs="Times New Roman"/>
          <w:sz w:val="24"/>
          <w:szCs w:val="24"/>
        </w:rPr>
        <w:t>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 </w:t>
      </w:r>
      <w:hyperlink r:id="rId19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абзаце четвертом подпункта «б» пункта 1</w:t>
        </w:r>
      </w:hyperlink>
      <w:r w:rsidRPr="00B73EA6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 </w:t>
      </w:r>
      <w:hyperlink r:id="rId20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EA6">
        <w:rPr>
          <w:rFonts w:ascii="Times New Roman" w:hAnsi="Times New Roman" w:cs="Times New Roman"/>
          <w:sz w:val="24"/>
          <w:szCs w:val="24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 </w:t>
      </w:r>
      <w:hyperlink r:id="rId21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EA6">
        <w:rPr>
          <w:rFonts w:ascii="Times New Roman" w:hAnsi="Times New Roman" w:cs="Times New Roman"/>
          <w:sz w:val="24"/>
          <w:szCs w:val="24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применить Главе к муниципальному служащему конкретную меру ответственности.</w:t>
      </w:r>
    </w:p>
    <w:p w:rsidR="0047713A" w:rsidRPr="00B73EA6" w:rsidRDefault="0047713A" w:rsidP="0047713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r:id="rId22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«б» пункта 1</w:t>
        </w:r>
      </w:hyperlink>
      <w:r w:rsidRPr="00B73EA6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47713A" w:rsidRPr="00B73EA6" w:rsidRDefault="0047713A" w:rsidP="0047713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lastRenderedPageBreak/>
        <w:t>а) признать, что при исполнении муниципальным служащим  должностных обязанностей конфликт интересов отсутствует;</w:t>
      </w:r>
    </w:p>
    <w:p w:rsidR="0047713A" w:rsidRPr="00B73EA6" w:rsidRDefault="0047713A" w:rsidP="0047713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возникновения;</w:t>
      </w:r>
    </w:p>
    <w:p w:rsidR="0047713A" w:rsidRPr="00B73EA6" w:rsidRDefault="0047713A" w:rsidP="0047713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32. По итогам рассмотрения вопросов, указанных в подпунктах «а», «б», «г» и «</w:t>
      </w:r>
      <w:proofErr w:type="spellStart"/>
      <w:r w:rsidRPr="00B73E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3EA6">
        <w:rPr>
          <w:rFonts w:ascii="Times New Roman" w:hAnsi="Times New Roman" w:cs="Times New Roman"/>
          <w:sz w:val="24"/>
          <w:szCs w:val="24"/>
        </w:rPr>
        <w:t>» пункта 14 настоящего Положения, и при наличии к тому оснований комиссия может принять иное решение, чем это предусмотрено пунктами 25 — 28, 29, 30, 31, 33 настоящего Положения. Основания и мотивы принятия такого решения должны быть отражены в протоколе заседания комиссии.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33. По итогам рассмотрения вопроса, указанного в </w:t>
      </w:r>
      <w:hyperlink r:id="rId23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B73EA6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в отношении гражданина, замещавшего должность, одно из следующих решений: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4" w:history="1">
        <w:r w:rsidRPr="00B73EA6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73EA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73EA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73EA6">
        <w:rPr>
          <w:rFonts w:ascii="Times New Roman" w:hAnsi="Times New Roman" w:cs="Times New Roman"/>
          <w:sz w:val="24"/>
          <w:szCs w:val="24"/>
        </w:rPr>
        <w:t>. № 273-ФЗ «О противодействии коррупции».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47713A" w:rsidRPr="00B73EA6" w:rsidRDefault="0047713A" w:rsidP="004771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EA6">
        <w:rPr>
          <w:rFonts w:ascii="Times New Roman" w:hAnsi="Times New Roman" w:cs="Times New Roman"/>
          <w:sz w:val="24"/>
          <w:szCs w:val="24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Комиссии может принять иное решение, основания и мотивы принятия такого решения должны быть отражены в протоколе заседания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38. В протоколе заседания Комиссии указываются: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EA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73EA6">
        <w:rPr>
          <w:rFonts w:ascii="Times New Roman" w:hAnsi="Times New Roman" w:cs="Times New Roman"/>
          <w:color w:val="000000"/>
          <w:sz w:val="24"/>
          <w:szCs w:val="24"/>
        </w:rPr>
        <w:t>) результаты голосования;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40. Копия протокола заседания Комиссии в течение 7 дней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41.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 xml:space="preserve">43.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B73E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EA6">
        <w:rPr>
          <w:rFonts w:ascii="Times New Roman" w:hAnsi="Times New Roman" w:cs="Times New Roman"/>
          <w:color w:val="000000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713A" w:rsidRPr="00B73EA6" w:rsidRDefault="0047713A" w:rsidP="0047713A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7713A" w:rsidRPr="00B73EA6" w:rsidRDefault="0047713A" w:rsidP="0047713A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7713A" w:rsidRPr="00B73EA6" w:rsidRDefault="0047713A" w:rsidP="0047713A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7713A" w:rsidRPr="00B73EA6" w:rsidRDefault="0047713A" w:rsidP="0047713A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47713A" w:rsidRPr="00B73EA6" w:rsidRDefault="0047713A" w:rsidP="0047713A">
      <w:pPr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ind w:left="6360"/>
        <w:jc w:val="both"/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4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2B4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612B4F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 Республики Ба</w:t>
      </w:r>
      <w:r w:rsidR="00A50345">
        <w:rPr>
          <w:rFonts w:ascii="Times New Roman" w:hAnsi="Times New Roman" w:cs="Times New Roman"/>
          <w:sz w:val="24"/>
          <w:szCs w:val="24"/>
        </w:rPr>
        <w:t>шкортостан от 14.08.2020 г. № 40</w:t>
      </w:r>
    </w:p>
    <w:p w:rsidR="00612B4F" w:rsidRPr="00612B4F" w:rsidRDefault="00612B4F" w:rsidP="00612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>СОСТАВ</w:t>
      </w:r>
    </w:p>
    <w:p w:rsidR="00612B4F" w:rsidRPr="00612B4F" w:rsidRDefault="00612B4F" w:rsidP="0061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4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12B4F" w:rsidRPr="00612B4F" w:rsidRDefault="00612B4F" w:rsidP="0061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B4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612B4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12B4F" w:rsidRPr="00612B4F" w:rsidRDefault="00612B4F" w:rsidP="0061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И.К.Хамидуллин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2B4F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  поселения,        </w:t>
      </w:r>
    </w:p>
    <w:p w:rsidR="00612B4F" w:rsidRPr="00612B4F" w:rsidRDefault="00612B4F" w:rsidP="00612B4F">
      <w:pPr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председатель комиссии;   </w:t>
      </w:r>
    </w:p>
    <w:p w:rsidR="00612B4F" w:rsidRPr="00612B4F" w:rsidRDefault="00612B4F" w:rsidP="00612B4F">
      <w:pPr>
        <w:tabs>
          <w:tab w:val="left" w:pos="820"/>
          <w:tab w:val="left" w:pos="41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2B4F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612B4F" w:rsidRPr="00612B4F" w:rsidRDefault="00612B4F" w:rsidP="00612B4F">
      <w:pPr>
        <w:tabs>
          <w:tab w:val="left" w:pos="820"/>
          <w:tab w:val="left" w:pos="41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2B4F" w:rsidRPr="00612B4F" w:rsidRDefault="00612B4F" w:rsidP="00612B4F">
      <w:pPr>
        <w:tabs>
          <w:tab w:val="left" w:pos="82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</w:t>
      </w:r>
      <w:r w:rsidRPr="00612B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завуч МБОУ СОШ им.М.Гареева</w:t>
      </w: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(независимый  эксперт)</w:t>
      </w:r>
    </w:p>
    <w:p w:rsidR="00612B4F" w:rsidRPr="00612B4F" w:rsidRDefault="00612B4F" w:rsidP="00612B4F">
      <w:pPr>
        <w:tabs>
          <w:tab w:val="left" w:pos="82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Сайфутдиярова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          </w:t>
      </w:r>
      <w:r w:rsidRPr="00612B4F">
        <w:rPr>
          <w:rFonts w:ascii="Times New Roman" w:hAnsi="Times New Roman" w:cs="Times New Roman"/>
          <w:sz w:val="24"/>
          <w:szCs w:val="24"/>
        </w:rPr>
        <w:t xml:space="preserve"> специалист по делам молодежи</w:t>
      </w: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(независимый  эксперт)</w:t>
      </w:r>
    </w:p>
    <w:p w:rsidR="00612B4F" w:rsidRPr="00612B4F" w:rsidRDefault="00612B4F" w:rsidP="00612B4F">
      <w:pPr>
        <w:tabs>
          <w:tab w:val="left" w:pos="82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  <w:r w:rsidRPr="00612B4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директор СДК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 w:rsidRPr="0061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(независимый  эксперт)</w:t>
      </w: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  <w:r w:rsidRPr="00612B4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заведующая ФАП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(независимый  эксперт)                  </w:t>
      </w:r>
    </w:p>
    <w:p w:rsidR="00612B4F" w:rsidRPr="00612B4F" w:rsidRDefault="00612B4F" w:rsidP="00612B4F">
      <w:pPr>
        <w:tabs>
          <w:tab w:val="left" w:pos="820"/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612B4F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12B4F" w:rsidRPr="00612B4F" w:rsidRDefault="00612B4F" w:rsidP="00CE3BA1">
      <w:pPr>
        <w:tabs>
          <w:tab w:val="left" w:pos="8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12B4F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     </w:t>
      </w:r>
      <w:r w:rsidR="00CE3BA1">
        <w:rPr>
          <w:rFonts w:ascii="Times New Roman" w:hAnsi="Times New Roman" w:cs="Times New Roman"/>
          <w:sz w:val="24"/>
          <w:szCs w:val="24"/>
        </w:rPr>
        <w:t xml:space="preserve">                Л.Г.Гареева</w:t>
      </w:r>
    </w:p>
    <w:sectPr w:rsidR="00612B4F" w:rsidRPr="00612B4F" w:rsidSect="00E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3083"/>
    <w:rsid w:val="00014959"/>
    <w:rsid w:val="000D3DF8"/>
    <w:rsid w:val="001E650C"/>
    <w:rsid w:val="00373F15"/>
    <w:rsid w:val="0047713A"/>
    <w:rsid w:val="004D13B7"/>
    <w:rsid w:val="005B3083"/>
    <w:rsid w:val="005E4884"/>
    <w:rsid w:val="00612B4F"/>
    <w:rsid w:val="00773711"/>
    <w:rsid w:val="008B4354"/>
    <w:rsid w:val="00905EC3"/>
    <w:rsid w:val="00951FF1"/>
    <w:rsid w:val="00A50345"/>
    <w:rsid w:val="00B049E2"/>
    <w:rsid w:val="00B73EA6"/>
    <w:rsid w:val="00CE3BA1"/>
    <w:rsid w:val="00EE03A4"/>
    <w:rsid w:val="00EF406E"/>
    <w:rsid w:val="00EF689E"/>
    <w:rsid w:val="00FD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9"/>
  </w:style>
  <w:style w:type="paragraph" w:styleId="1">
    <w:name w:val="heading 1"/>
    <w:basedOn w:val="a"/>
    <w:next w:val="a"/>
    <w:link w:val="10"/>
    <w:qFormat/>
    <w:rsid w:val="00B73E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5B30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3083"/>
  </w:style>
  <w:style w:type="paragraph" w:styleId="a5">
    <w:name w:val="Body Text"/>
    <w:basedOn w:val="a"/>
    <w:link w:val="a6"/>
    <w:semiHidden/>
    <w:unhideWhenUsed/>
    <w:rsid w:val="005B3083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B308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locked/>
    <w:rsid w:val="005B3083"/>
    <w:rPr>
      <w:rFonts w:ascii="ATimes" w:hAnsi="ATimes"/>
      <w:sz w:val="28"/>
    </w:rPr>
  </w:style>
  <w:style w:type="character" w:styleId="a7">
    <w:name w:val="Hyperlink"/>
    <w:semiHidden/>
    <w:unhideWhenUsed/>
    <w:rsid w:val="005B3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EA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onsPlusNormal">
    <w:name w:val="ConsPlusNormal Знак"/>
    <w:link w:val="ConsPlusNormal0"/>
    <w:locked/>
    <w:rsid w:val="00B73EA6"/>
    <w:rPr>
      <w:rFonts w:ascii="Arial" w:hAnsi="Arial" w:cs="Arial"/>
    </w:rPr>
  </w:style>
  <w:style w:type="paragraph" w:customStyle="1" w:styleId="ConsPlusNormal0">
    <w:name w:val="ConsPlusNormal"/>
    <w:link w:val="ConsPlusNormal"/>
    <w:rsid w:val="00B73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\content\act\951eeaab-b568-4565-b5f4-8902c4f63ee3.html" TargetMode="External"/><Relationship Id="rId13" Type="http://schemas.openxmlformats.org/officeDocument/2006/relationships/hyperlink" Target="file:///C:\Users\4\content\act\9aa48369-618a-4bb4-b4b8-ae15f2b7ebf6.html" TargetMode="External"/><Relationship Id="rId18" Type="http://schemas.openxmlformats.org/officeDocument/2006/relationships/hyperlink" Target="consultantplus://offline/ref=566C613682325AC8FB9C04A1A1B7DE5138FDC5A65897C630A6177AAEE298445C26CC5C99C7CBCE4CX35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6C613682325AC8FB9C04A1A1B7DE5138FDC5A65F90C630A6177AAEE2X958M" TargetMode="External"/><Relationship Id="rId7" Type="http://schemas.openxmlformats.org/officeDocument/2006/relationships/hyperlink" Target="file:///C:\Users\4\content\act\9aa48369-618a-4bb4-b4b8-ae15f2b7ebf6.html" TargetMode="External"/><Relationship Id="rId12" Type="http://schemas.openxmlformats.org/officeDocument/2006/relationships/hyperlink" Target="file:///C:\Users\4\content\act\23bfa9af-b847-4f54-8403-f2e327c4305a.html" TargetMode="External"/><Relationship Id="rId17" Type="http://schemas.openxmlformats.org/officeDocument/2006/relationships/hyperlink" Target="consultantplus://offline/ref=566C613682325AC8FB9C04A1A1B7DE5138FDC5A65897C630A6177AAEE298445C26CC5C99C7CBCE4CX35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1A7529AC630A6177AAEE298445C26CC5C99C7CBCF4DX35BM" TargetMode="External"/><Relationship Id="rId20" Type="http://schemas.openxmlformats.org/officeDocument/2006/relationships/hyperlink" Target="consultantplus://offline/ref=566C613682325AC8FB9C04A1A1B7DE5138FDC5A65F90C630A6177AAEE2X958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4\content\act\bbf89570-6239-4cfb-bdba-5b454c14e321.html" TargetMode="External"/><Relationship Id="rId11" Type="http://schemas.openxmlformats.org/officeDocument/2006/relationships/hyperlink" Target="file:///C:\Users\4\content\act\eb042c48-de0e-4dbe-8305-4d48dddb63a2.html" TargetMode="External"/><Relationship Id="rId24" Type="http://schemas.openxmlformats.org/officeDocument/2006/relationships/hyperlink" Target="consultantplus://offline/ref=5B5BF5EE72A0D5D20D25A689B2385F8A3294ADC1F5A3AD81C37ECC32D7CBB4DD67279A367DG7N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4\content\act\9aa48369-618a-4bb4-b4b8-ae15f2b7ebf6.html" TargetMode="External"/><Relationship Id="rId23" Type="http://schemas.openxmlformats.org/officeDocument/2006/relationships/hyperlink" Target="consultantplus://offline/ref=5B5BF5EE72A0D5D20D25A689B2385F8A3294A9C0F9A8AD81C37ECC32D7CBB4DD67279A73G5N" TargetMode="External"/><Relationship Id="rId10" Type="http://schemas.openxmlformats.org/officeDocument/2006/relationships/hyperlink" Target="file:///C:\Users\4\content\act\9aa48369-618a-4bb4-b4b8-ae15f2b7ebf6.html" TargetMode="External"/><Relationship Id="rId19" Type="http://schemas.openxmlformats.org/officeDocument/2006/relationships/hyperlink" Target="consultantplus://offline/ref=566C613682325AC8FB9C04A1A1B7DE5138FDC1A7529AC630A6177AAEE298445C26CC5C99C7CBCF4AX35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\content\act\bbf89570-6239-4cfb-bdba-5b454c14e321.html" TargetMode="External"/><Relationship Id="rId14" Type="http://schemas.openxmlformats.org/officeDocument/2006/relationships/hyperlink" Target="file:///C:\Users\4\content\act\b11798ff-43b9-49db-b06c-4223f9d555e2.html" TargetMode="External"/><Relationship Id="rId22" Type="http://schemas.openxmlformats.org/officeDocument/2006/relationships/hyperlink" Target="consultantplus://offline/ref=E1E22F94835F3C49E963BA8D5A0E0CF4F0CFBFFF096AB5100F013884CB34DD09903E9E62F5F0D178HF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20</cp:revision>
  <dcterms:created xsi:type="dcterms:W3CDTF">2018-01-30T09:34:00Z</dcterms:created>
  <dcterms:modified xsi:type="dcterms:W3CDTF">2020-08-17T06:23:00Z</dcterms:modified>
</cp:coreProperties>
</file>