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5B3083" w:rsidTr="00AF65BB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</w:rPr>
              <w:t>ы</w:t>
            </w:r>
            <w:proofErr w:type="gramEnd"/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5B3083" w:rsidTr="00AF65BB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5B3083" w:rsidRDefault="005B3083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3083" w:rsidRDefault="005B3083" w:rsidP="005B3083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5B3083" w:rsidTr="00AF65BB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5B3083" w:rsidRDefault="005B3083" w:rsidP="00AF6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КАРАР                                                                                       ПОСТАНОВЛЕНИЕ             </w:t>
            </w:r>
          </w:p>
        </w:tc>
      </w:tr>
      <w:tr w:rsidR="005B3083" w:rsidTr="00AF65BB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083" w:rsidRDefault="005B3083" w:rsidP="00AF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5B3083" w:rsidRDefault="005B3083" w:rsidP="005B3083">
      <w:pPr>
        <w:rPr>
          <w:rFonts w:ascii="Times New Roman" w:hAnsi="Times New Roman" w:cs="Times New Roman"/>
          <w:sz w:val="24"/>
          <w:szCs w:val="24"/>
        </w:rPr>
      </w:pPr>
    </w:p>
    <w:p w:rsidR="005B3083" w:rsidRPr="00440F7B" w:rsidRDefault="005B3083" w:rsidP="005B30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7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r w:rsidRPr="00440F7B"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 w:rsidRPr="00440F7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40F7B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440F7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5B3083" w:rsidRDefault="005B3083" w:rsidP="005B30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F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440F7B">
        <w:rPr>
          <w:rFonts w:ascii="Times New Roman" w:hAnsi="Times New Roman" w:cs="Times New Roman"/>
          <w:color w:val="000000"/>
          <w:sz w:val="24"/>
          <w:szCs w:val="24"/>
        </w:rPr>
        <w:t xml:space="preserve">от 02.03.2007 №25-ФЗ «О муниципальной службе в Российской Федерации», </w:t>
      </w:r>
      <w:r w:rsidRPr="00440F7B">
        <w:rPr>
          <w:rFonts w:ascii="Times New Roman" w:hAnsi="Times New Roman" w:cs="Times New Roman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440F7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40F7B">
        <w:rPr>
          <w:rFonts w:ascii="Times New Roman" w:hAnsi="Times New Roman" w:cs="Times New Roman"/>
          <w:sz w:val="24"/>
          <w:szCs w:val="24"/>
        </w:rPr>
        <w:t xml:space="preserve">. №273-ФЗ «О противодействии коррупции», </w:t>
      </w:r>
      <w:r w:rsidRPr="00440F7B">
        <w:rPr>
          <w:rFonts w:ascii="Times New Roman" w:hAnsi="Times New Roman" w:cs="Times New Roman"/>
          <w:color w:val="000000"/>
          <w:sz w:val="24"/>
          <w:szCs w:val="24"/>
        </w:rPr>
        <w:t xml:space="preserve">Указами </w:t>
      </w:r>
      <w:r w:rsidRPr="00440F7B">
        <w:rPr>
          <w:rFonts w:ascii="Times New Roman" w:hAnsi="Times New Roman" w:cs="Times New Roman"/>
          <w:sz w:val="24"/>
          <w:szCs w:val="24"/>
        </w:rPr>
        <w:t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от 19.09.2017 № 431 «О внесении изменений в</w:t>
      </w:r>
      <w:proofErr w:type="gramEnd"/>
      <w:r w:rsidRPr="00440F7B">
        <w:rPr>
          <w:rFonts w:ascii="Times New Roman" w:hAnsi="Times New Roman" w:cs="Times New Roman"/>
          <w:sz w:val="24"/>
          <w:szCs w:val="24"/>
        </w:rPr>
        <w:t xml:space="preserve"> некоторые акты Президента Российской Федерации в целях усиления </w:t>
      </w:r>
      <w:proofErr w:type="gramStart"/>
      <w:r w:rsidRPr="00440F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0F7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противодействии коррупции»,  Закона Республики Башкортостан от 28.03.2016 № 349 – </w:t>
      </w:r>
      <w:proofErr w:type="spellStart"/>
      <w:r w:rsidRPr="00440F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F7B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Республики Башкортостан «О муниципальной службе в Республике Башкортостан»</w:t>
      </w:r>
    </w:p>
    <w:p w:rsidR="005B3083" w:rsidRPr="00440F7B" w:rsidRDefault="005B3083" w:rsidP="005B30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F7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40F7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40F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40F7B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5B3083" w:rsidRPr="00440F7B" w:rsidRDefault="005B3083" w:rsidP="005B30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F7B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7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440F7B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440F7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в новой редакции.</w:t>
      </w:r>
    </w:p>
    <w:p w:rsidR="005B3083" w:rsidRPr="001E25CF" w:rsidRDefault="005B3083" w:rsidP="005B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25CF">
        <w:rPr>
          <w:rFonts w:ascii="Times New Roman" w:hAnsi="Times New Roman" w:cs="Times New Roman"/>
          <w:sz w:val="24"/>
          <w:szCs w:val="24"/>
        </w:rPr>
        <w:t xml:space="preserve">Постановление от 16.02.2016 г. №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25CF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bCs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E2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5CF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5B3083" w:rsidRDefault="005B3083" w:rsidP="005B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E25CF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5B3083" w:rsidRPr="00440F7B" w:rsidRDefault="005B3083" w:rsidP="005B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40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F7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5B3083" w:rsidRPr="00440F7B" w:rsidRDefault="005B3083" w:rsidP="005B308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083" w:rsidRDefault="005B3083" w:rsidP="005B30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0F7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5B3083" w:rsidRDefault="005B3083" w:rsidP="005B308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B3083" w:rsidRPr="001E25CF" w:rsidRDefault="005B3083" w:rsidP="005B3083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E25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постановлению Главы сельского поселения </w:t>
      </w:r>
      <w:proofErr w:type="spellStart"/>
      <w:r w:rsidRPr="001E25CF">
        <w:rPr>
          <w:rFonts w:ascii="Times New Roman" w:hAnsi="Times New Roman" w:cs="Times New Roman"/>
          <w:sz w:val="20"/>
          <w:szCs w:val="20"/>
        </w:rPr>
        <w:t>Бишкураевский</w:t>
      </w:r>
      <w:proofErr w:type="spellEnd"/>
      <w:r w:rsidRPr="001E25C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sz w:val="20"/>
          <w:szCs w:val="20"/>
        </w:rPr>
        <w:t>Илишевский</w:t>
      </w:r>
      <w:proofErr w:type="spellEnd"/>
      <w:r w:rsidRPr="001E25C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от29.01.2018 № 02</w:t>
      </w:r>
    </w:p>
    <w:p w:rsidR="005B3083" w:rsidRDefault="005B3083" w:rsidP="005B308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3083" w:rsidRPr="001E25CF" w:rsidRDefault="005B3083" w:rsidP="005B3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в 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5B3083" w:rsidRPr="001E25CF" w:rsidRDefault="005B3083" w:rsidP="005B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6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 (далее – Федеральный закон «О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службе в Российской Федерации»), Федеральным </w:t>
      </w:r>
      <w:hyperlink r:id="rId7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8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от 16 июля 2007 года № 453-з «О муниципальной службе в Республике Башкортостан»,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урегулированию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интересов».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Республики Башкортостан, нормативными правовыми актами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Илишевского</w:t>
      </w:r>
      <w:proofErr w:type="spellEnd"/>
      <w:r w:rsidRPr="001E25CF">
        <w:rPr>
          <w:rFonts w:ascii="Times New Roman" w:hAnsi="Times New Roman" w:cs="Times New Roman"/>
          <w:sz w:val="24"/>
          <w:szCs w:val="24"/>
        </w:rPr>
        <w:t xml:space="preserve"> района, главы местной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sz w:val="24"/>
          <w:szCs w:val="24"/>
        </w:rPr>
        <w:t xml:space="preserve"> сельсовет, настоящим Положением.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3. Основными задачами комиссии являются: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комиссии является содействие муниципальным служащим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Республика Башкортостан (далее - муниципальные служащие)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службе в Российской Федерации», Федеральным </w:t>
      </w:r>
      <w:hyperlink r:id="rId10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коррупции», другими федеральными законами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интересов), а также в осуществлении в администрации сельского поселения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- Администрация) мер по предупреждению коррупции.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 избранный из их состава.</w:t>
      </w:r>
      <w:bookmarkStart w:id="0" w:name="Par289"/>
      <w:bookmarkStart w:id="1" w:name="Par293"/>
      <w:bookmarkStart w:id="2" w:name="sub_20501"/>
      <w:bookmarkEnd w:id="0"/>
      <w:bookmarkEnd w:id="1"/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bookmarkEnd w:id="2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7. Глава сельского поселения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Бишкураевский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муниципального района 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- Глава) может принять решение о включении в состав комиссии представителя общественной организации ветеранов.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8. Лица, указанные в пункте 6,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11. В заседаниях Комиссии с правом совещательного голоса участвуют: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02"/>
      <w:bookmarkEnd w:id="3"/>
      <w:r w:rsidRPr="001E2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305"/>
      <w:bookmarkEnd w:id="4"/>
      <w:r w:rsidRPr="001E25CF">
        <w:rPr>
          <w:rFonts w:ascii="Times New Roman" w:hAnsi="Times New Roman" w:cs="Times New Roman"/>
          <w:color w:val="000000"/>
          <w:sz w:val="24"/>
          <w:szCs w:val="24"/>
        </w:rPr>
        <w:t>14. Основаниями для проведения заседания комиссии являются: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306"/>
      <w:bookmarkEnd w:id="5"/>
      <w:r w:rsidRPr="001E25CF">
        <w:rPr>
          <w:rFonts w:ascii="Times New Roman" w:hAnsi="Times New Roman" w:cs="Times New Roman"/>
          <w:color w:val="000000"/>
          <w:sz w:val="24"/>
          <w:szCs w:val="24"/>
        </w:rPr>
        <w:t>а) представление в Комиссию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307"/>
      <w:bookmarkEnd w:id="6"/>
      <w:r w:rsidRPr="001E25CF">
        <w:rPr>
          <w:rFonts w:ascii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308"/>
      <w:bookmarkEnd w:id="7"/>
      <w:r w:rsidRPr="001E25CF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309"/>
      <w:bookmarkEnd w:id="8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Администрацию:</w:t>
      </w:r>
      <w:bookmarkStart w:id="9" w:name="Par310"/>
      <w:bookmarkEnd w:id="9"/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нормативно -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дня увольнения с муниципальной службы;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311"/>
      <w:bookmarkEnd w:id="10"/>
      <w:r w:rsidRPr="001E25CF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1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312"/>
      <w:bookmarkEnd w:id="11"/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представление (в письменной форме) руководителю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г) представление Администрации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2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от 3 декабря 2012 года № 230-ФЗ «О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расходов лиц, замещающих государственные должности, и иных лиц их доходам»;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313"/>
      <w:bookmarkEnd w:id="12"/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частью 4 статьи 12 Федерального </w:t>
      </w:r>
      <w:hyperlink r:id="rId13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 и статьей 64.1.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</w:t>
      </w:r>
      <w:hyperlink r:id="rId14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при условии, что указанному гражданину комиссией ранее было отказано во вступлении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Администрации.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Администрация осуществляет рассмотрение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16. Обращение, указанное в абзаце втором подпункта «б» пункта 14.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17. Уведомление, указанное в подпункте «</w:t>
      </w: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» пункта 14 настоящего Положения, рассматривается Главой,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5" w:tgtFrame="_self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коррупции». 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17.1. </w:t>
      </w:r>
      <w:r w:rsidRPr="001E25CF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r:id="rId16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абзаце пятом подпункта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4 настоящего Положения, рассматривается Комиссией по профилактике коррупционных и иных </w:t>
      </w:r>
      <w:r w:rsidRPr="001E25CF">
        <w:rPr>
          <w:rFonts w:ascii="Times New Roman" w:hAnsi="Times New Roman" w:cs="Times New Roman"/>
          <w:sz w:val="24"/>
          <w:szCs w:val="24"/>
        </w:rPr>
        <w:lastRenderedPageBreak/>
        <w:t>правонарушений, которое осуществляет подготовку мотивированного заключения по результатам рассмотрения уведомления.</w:t>
      </w:r>
    </w:p>
    <w:p w:rsidR="005B3083" w:rsidRPr="001E25CF" w:rsidRDefault="005B3083" w:rsidP="005B308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17.2. </w:t>
      </w:r>
      <w:proofErr w:type="gramStart"/>
      <w:r w:rsidRPr="001E25CF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4 настоящего Положения, или уведомлений, указанных в </w:t>
      </w:r>
      <w:hyperlink r:id="rId18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абзаце пятом подпункта «б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9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подпункте «г»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Положения, Глава или его заместитель имеют право проводить собеседование с муниципальным служащим, представившим обращение или уведомление, получать от него письменные пояснения,  могут направлять в установленном порядке</w:t>
      </w:r>
      <w:proofErr w:type="gramEnd"/>
      <w:r w:rsidRPr="001E25CF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19. Председатель Комиссии при поступлении к нему, информации, содержащей основания для проведения заседания Комиссии: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1E25CF">
        <w:rPr>
          <w:rFonts w:ascii="Times New Roman" w:hAnsi="Times New Roman" w:cs="Times New Roman"/>
          <w:sz w:val="24"/>
          <w:szCs w:val="24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327"/>
      <w:bookmarkEnd w:id="13"/>
      <w:r w:rsidRPr="001E25CF">
        <w:rPr>
          <w:rFonts w:ascii="Times New Roman" w:hAnsi="Times New Roman" w:cs="Times New Roman"/>
          <w:color w:val="000000"/>
          <w:sz w:val="24"/>
          <w:szCs w:val="24"/>
        </w:rPr>
        <w:t>20.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329"/>
      <w:bookmarkEnd w:id="14"/>
      <w:r w:rsidRPr="001E25CF">
        <w:rPr>
          <w:rFonts w:ascii="Times New Roman" w:hAnsi="Times New Roman" w:cs="Times New Roman"/>
          <w:color w:val="000000"/>
          <w:sz w:val="24"/>
          <w:szCs w:val="24"/>
        </w:rPr>
        <w:t>21. Уведомление и заявление, указанное в абзаце четвертом подпункте «г» пункта 14 настоящего Положения, рассматриваются на очередном (плановом) заседании Комиссии.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Pr="001E25CF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подпунктом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Положения.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22.1. Заседания комиссии могут проводиться в отсутствие муниципального служащего или гражданина в случае:</w:t>
      </w:r>
    </w:p>
    <w:p w:rsidR="005B3083" w:rsidRPr="001E25CF" w:rsidRDefault="005B3083" w:rsidP="005B308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1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подпунктом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B3083" w:rsidRPr="001E25CF" w:rsidRDefault="005B3083" w:rsidP="005B3083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36"/>
      <w:bookmarkEnd w:id="15"/>
      <w:r w:rsidRPr="001E25CF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5CF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 являются достоверными и полными;</w:t>
      </w:r>
      <w:proofErr w:type="gramEnd"/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5CF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1E25CF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r w:rsidRPr="001E25CF">
        <w:rPr>
          <w:rFonts w:ascii="Times New Roman" w:hAnsi="Times New Roman" w:cs="Times New Roman"/>
          <w:sz w:val="24"/>
          <w:szCs w:val="24"/>
        </w:rPr>
        <w:lastRenderedPageBreak/>
        <w:t>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27.1. По итогам рассмотрения вопроса, указанного в </w:t>
      </w:r>
      <w:hyperlink r:id="rId22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абзаце пятом подпункта «б»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28.1. По итогам рассмотрения вопросов, указанных в подпунктах «а», «б» пункта 14 настоящего Положения при наличии к тому оснований, комиссия может принять иное решение, чем это предусмотрено п.25 -28 настоящего Положения. Основания и мотивы принятия такого решения должны быть отражены в протоколе заседании комиссии. 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    28.2. По итогам рассмотрения вопроса, указанного в </w:t>
      </w:r>
      <w:hyperlink r:id="rId23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5CF">
        <w:rPr>
          <w:rFonts w:ascii="Times New Roman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4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B3083" w:rsidRPr="001E25CF" w:rsidRDefault="005B3083" w:rsidP="005B3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>34.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35. Для исполнения решений Комиссии могут быть подготовлены проекты распоряжений, решений или поручений Администрации, которые в установленном порядке представляются на рассмотрение Главе.</w:t>
      </w:r>
    </w:p>
    <w:p w:rsidR="005B3083" w:rsidRPr="001E25CF" w:rsidRDefault="005B3083" w:rsidP="005B30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35.1. </w:t>
      </w:r>
      <w:r w:rsidRPr="001E25CF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r:id="rId26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15, 16 и </w:t>
      </w:r>
      <w:hyperlink r:id="rId27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17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8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пятом подпункта «б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30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>4 настоящего Положения;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3083" w:rsidRPr="001E25CF" w:rsidRDefault="005B3083" w:rsidP="005B3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CF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1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пятом подпункта «б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33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4 настоящего Положения, а также рекомендации для принятия одного из решений в соответствии с </w:t>
      </w:r>
      <w:hyperlink r:id="rId34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7, </w:t>
      </w:r>
      <w:hyperlink r:id="rId35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27.</w:t>
        </w:r>
      </w:hyperlink>
      <w:r w:rsidRPr="001E25CF">
        <w:rPr>
          <w:rFonts w:ascii="Times New Roman" w:hAnsi="Times New Roman" w:cs="Times New Roman"/>
          <w:sz w:val="24"/>
          <w:szCs w:val="24"/>
        </w:rPr>
        <w:t xml:space="preserve">1, </w:t>
      </w:r>
      <w:hyperlink r:id="rId36" w:history="1">
        <w:r w:rsidRPr="001E25CF">
          <w:rPr>
            <w:rStyle w:val="a7"/>
            <w:rFonts w:ascii="Times New Roman" w:hAnsi="Times New Roman" w:cs="Times New Roman"/>
            <w:sz w:val="24"/>
            <w:szCs w:val="24"/>
          </w:rPr>
          <w:t>28.</w:t>
        </w:r>
      </w:hyperlink>
      <w:r w:rsidRPr="001E25CF">
        <w:rPr>
          <w:rFonts w:ascii="Times New Roman" w:hAnsi="Times New Roman" w:cs="Times New Roman"/>
          <w:sz w:val="24"/>
          <w:szCs w:val="24"/>
        </w:rPr>
        <w:t>2 настоящего Положения или иного решения.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36. Решение Комиссии по вопросам, указанным в пункте 14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для указанных лиц обязательный характер.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38. В протоколе заседания Комиссии указываются: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25CF">
        <w:rPr>
          <w:rFonts w:ascii="Times New Roman" w:hAnsi="Times New Roman" w:cs="Times New Roman"/>
          <w:color w:val="000000"/>
          <w:sz w:val="24"/>
          <w:szCs w:val="24"/>
        </w:rPr>
        <w:t>) результаты голосования;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40. Копия протокола заседания Комиссии в течение 7 дней со дня заседания направляются Главе, полностью или в виде выписок из него - муниципальному </w:t>
      </w:r>
      <w:r w:rsidRPr="001E2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служащему, а также по решению Комиссии - иным заинтересованным лицам.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41. Глава обязан рассмотреть протокол заседания Комиссии и вправе учесть в пределах своей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  <w:proofErr w:type="gramEnd"/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proofErr w:type="gramStart"/>
      <w:r w:rsidRPr="001E25CF">
        <w:rPr>
          <w:rFonts w:ascii="Times New Roman" w:hAnsi="Times New Roman" w:cs="Times New Roman"/>
          <w:color w:val="000000"/>
          <w:sz w:val="24"/>
          <w:szCs w:val="24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5B3083" w:rsidRPr="001E25CF" w:rsidRDefault="005B3083" w:rsidP="005B3083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CF">
        <w:rPr>
          <w:rFonts w:ascii="Times New Roman" w:hAnsi="Times New Roman" w:cs="Times New Roman"/>
          <w:color w:val="000000"/>
          <w:sz w:val="24"/>
          <w:szCs w:val="24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B3083" w:rsidRPr="001E25CF" w:rsidRDefault="005B3083" w:rsidP="005B3083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B3083" w:rsidRPr="001E25CF" w:rsidRDefault="005B3083" w:rsidP="005B3083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B3083" w:rsidRPr="001E25CF" w:rsidRDefault="005B3083" w:rsidP="005B3083">
      <w:pPr>
        <w:adjustRightInd w:val="0"/>
        <w:spacing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E4884" w:rsidRDefault="005E4884"/>
    <w:sectPr w:rsidR="005E4884" w:rsidSect="00E3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083"/>
    <w:rsid w:val="005B3083"/>
    <w:rsid w:val="005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5B308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3083"/>
  </w:style>
  <w:style w:type="paragraph" w:styleId="a5">
    <w:name w:val="Body Text"/>
    <w:basedOn w:val="a"/>
    <w:link w:val="a6"/>
    <w:semiHidden/>
    <w:unhideWhenUsed/>
    <w:rsid w:val="005B3083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B3083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locked/>
    <w:rsid w:val="005B3083"/>
    <w:rPr>
      <w:rFonts w:ascii="ATimes" w:hAnsi="ATimes"/>
      <w:sz w:val="28"/>
    </w:rPr>
  </w:style>
  <w:style w:type="character" w:styleId="a7">
    <w:name w:val="Hyperlink"/>
    <w:semiHidden/>
    <w:unhideWhenUsed/>
    <w:rsid w:val="005B3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51eeaab-b568-4565-b5f4-8902c4f63ee3.html" TargetMode="External"/><Relationship Id="rId13" Type="http://schemas.openxmlformats.org/officeDocument/2006/relationships/hyperlink" Target="file:///C:\content\act\9aa48369-618a-4bb4-b4b8-ae15f2b7ebf6.html" TargetMode="External"/><Relationship Id="rId18" Type="http://schemas.openxmlformats.org/officeDocument/2006/relationships/hyperlink" Target="consultantplus://offline/ref=F9DDCFF2A77D5F67F756A65CCF8149DAAF84E7B1BAB1962B32BD64FBB790CD4485B58B90DAA7F46B35F61FEDvEH9G" TargetMode="External"/><Relationship Id="rId26" Type="http://schemas.openxmlformats.org/officeDocument/2006/relationships/hyperlink" Target="consultantplus://offline/ref=7A6283D7175DA4BD167A7E9D4E4A32DA1E5BDD22C636B032797FEAB6CD1C78A232CB24A470336803Z6c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BE9E0B2BD4A7BF7C88B71AF3271FFCB2C118C7794E3F9CE41711772251A118377179CBA62E80A921B52265oCODG" TargetMode="External"/><Relationship Id="rId34" Type="http://schemas.openxmlformats.org/officeDocument/2006/relationships/hyperlink" Target="consultantplus://offline/ref=7A6283D7175DA4BD167A7E9D4E4A32DA1E5BDD22C636B032797FEAB6CD1C78A232CB24A470336806Z6cFG" TargetMode="Externa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hyperlink" Target="file:///C:\content\act\23bfa9af-b847-4f54-8403-f2e327c4305a.html" TargetMode="External"/><Relationship Id="rId17" Type="http://schemas.openxmlformats.org/officeDocument/2006/relationships/hyperlink" Target="consultantplus://offline/ref=F9DDCFF2A77D5F67F756A65CCF8149DAAF84E7B1BAB1962B32BD64FBB790CD4485B58B90DAA7F46B35F61AECvEH9G" TargetMode="External"/><Relationship Id="rId25" Type="http://schemas.openxmlformats.org/officeDocument/2006/relationships/hyperlink" Target="consultantplus://offline/ref=F178EAB3848AC364B18A256B3825D6AB36E5AFF5F08F4BA7FD4DF96BB9C8C194663BF7A461Y9G" TargetMode="External"/><Relationship Id="rId33" Type="http://schemas.openxmlformats.org/officeDocument/2006/relationships/hyperlink" Target="consultantplus://offline/ref=7A6283D7175DA4BD167A7E9D4E4A32DA1E5BDD22C636B032797FEAB6CD1C78A232CB24A470336802Z6cB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DE852A4C795DB981D913D7C65738D4115A0BCEA7040543A7912C8DDF7B1F8288CFAC157DCDCEE9E2330CBQEG2G" TargetMode="External"/><Relationship Id="rId20" Type="http://schemas.openxmlformats.org/officeDocument/2006/relationships/hyperlink" Target="consultantplus://offline/ref=3E42BE9A14D4E320599B1C490C425785C62691C56986FAA14E5C6CBAA0A533941C811C9029C58818505E5581H6N7G" TargetMode="External"/><Relationship Id="rId29" Type="http://schemas.openxmlformats.org/officeDocument/2006/relationships/hyperlink" Target="consultantplus://offline/ref=7A6283D7175DA4BD167A7E9D4E4A32DA1E5BDD22C636B032797FEAB6CD1C78A232CB24A470336803Z6cE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bbf89570-6239-4cfb-bdba-5b454c14e321.html" TargetMode="External"/><Relationship Id="rId11" Type="http://schemas.openxmlformats.org/officeDocument/2006/relationships/hyperlink" Target="file:///C:\content\act\eb042c48-de0e-4dbe-8305-4d48dddb63a2.html" TargetMode="External"/><Relationship Id="rId24" Type="http://schemas.openxmlformats.org/officeDocument/2006/relationships/hyperlink" Target="consultantplus://offline/ref=F178EAB3848AC364B18A256B3825D6AB36E5AFF5F08F4BA7FD4DF96BB9C8C194663BF7A461Y8G" TargetMode="External"/><Relationship Id="rId32" Type="http://schemas.openxmlformats.org/officeDocument/2006/relationships/hyperlink" Target="consultantplus://offline/ref=7A6283D7175DA4BD167A7E9D4E4A32DA1E5BDD22C636B032797FEAB6CD1C78A232CB24A470336803Z6cE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content\act\9aa48369-618a-4bb4-b4b8-ae15f2b7ebf6.html" TargetMode="External"/><Relationship Id="rId23" Type="http://schemas.openxmlformats.org/officeDocument/2006/relationships/hyperlink" Target="consultantplus://offline/ref=F178EAB3848AC364B18A25682A4989A234EFF8FAF78846F7A21BFF3CE698C7C1267BF1F252B3A22ACE28B6346DY9G" TargetMode="External"/><Relationship Id="rId28" Type="http://schemas.openxmlformats.org/officeDocument/2006/relationships/hyperlink" Target="consultantplus://offline/ref=7A6283D7175DA4BD167A7E9D4E4A32DA1E5BDD22C636B032797FEAB6CD1C78A232CB24A47033690EZ6c8G" TargetMode="External"/><Relationship Id="rId36" Type="http://schemas.openxmlformats.org/officeDocument/2006/relationships/hyperlink" Target="consultantplus://offline/ref=7A6283D7175DA4BD167A7E9D4E4A32DA1E5BDD22C636B032797FEAB6CD1C78A232CB24A470336803Z6cFG" TargetMode="Externa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consultantplus://offline/ref=F9DDCFF2A77D5F67F756A65CCF8149DAAF84E7B1BAB1962B32BD64FBB790CD4485B58B90DAA7F46B35F61FE8vEH8G" TargetMode="External"/><Relationship Id="rId31" Type="http://schemas.openxmlformats.org/officeDocument/2006/relationships/hyperlink" Target="consultantplus://offline/ref=7A6283D7175DA4BD167A7E9D4E4A32DA1E5BDD22C636B032797FEAB6CD1C78A232CB24A47033690EZ6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yperlink" Target="file:///C:\content\act\b11798ff-43b9-49db-b06c-4223f9d555e2.html" TargetMode="External"/><Relationship Id="rId22" Type="http://schemas.openxmlformats.org/officeDocument/2006/relationships/hyperlink" Target="consultantplus://offline/ref=959C0517EEEBB6101F18700F3814E6E048BD1E3FF520821149AC5483C7C8884D7E20683D075E3ABEDF215761F5UAG" TargetMode="External"/><Relationship Id="rId27" Type="http://schemas.openxmlformats.org/officeDocument/2006/relationships/hyperlink" Target="consultantplus://offline/ref=7A6283D7175DA4BD167A7E9D4E4A32DA1E5BDD22C636B032797FEAB6CD1C78A232CB24A470336803Z6cBG" TargetMode="External"/><Relationship Id="rId30" Type="http://schemas.openxmlformats.org/officeDocument/2006/relationships/hyperlink" Target="consultantplus://offline/ref=7A6283D7175DA4BD167A7E9D4E4A32DA1E5BDD22C636B032797FEAB6CD1C78A232CB24A470336802Z6cBG" TargetMode="External"/><Relationship Id="rId35" Type="http://schemas.openxmlformats.org/officeDocument/2006/relationships/hyperlink" Target="consultantplus://offline/ref=7A6283D7175DA4BD167A7E9D4E4A32DA1E5BDD22C636B032797FEAB6CD1C78A232CB24A470336800Z6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5181</Words>
  <Characters>29536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2018-01-30T09:34:00Z</dcterms:created>
  <dcterms:modified xsi:type="dcterms:W3CDTF">2018-01-30T09:34:00Z</dcterms:modified>
</cp:coreProperties>
</file>